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D44FD" w14:textId="77777777" w:rsidR="00CD151F" w:rsidRPr="00CD151F" w:rsidRDefault="00CD151F" w:rsidP="00CD151F"/>
    <w:p w14:paraId="05BC463A" w14:textId="45B125DB" w:rsidR="00CD151F" w:rsidRPr="00CD151F" w:rsidRDefault="00CD151F" w:rsidP="00CD151F">
      <w:pPr>
        <w:jc w:val="center"/>
        <w:rPr>
          <w:b/>
          <w:u w:val="single"/>
        </w:rPr>
      </w:pPr>
      <w:r w:rsidRPr="00CD151F">
        <w:rPr>
          <w:noProof/>
        </w:rPr>
        <mc:AlternateContent>
          <mc:Choice Requires="wps">
            <w:drawing>
              <wp:anchor distT="4294967295" distB="4294967295" distL="114300" distR="114300" simplePos="0" relativeHeight="251660288" behindDoc="0" locked="0" layoutInCell="1" allowOverlap="1" wp14:anchorId="6DAC3512" wp14:editId="6668CA0B">
                <wp:simplePos x="0" y="0"/>
                <wp:positionH relativeFrom="column">
                  <wp:posOffset>-104775</wp:posOffset>
                </wp:positionH>
                <wp:positionV relativeFrom="paragraph">
                  <wp:posOffset>581025</wp:posOffset>
                </wp:positionV>
                <wp:extent cx="6257925" cy="0"/>
                <wp:effectExtent l="0" t="0" r="0" b="0"/>
                <wp:wrapNone/>
                <wp:docPr id="164759955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45ACAC"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pt,45.75pt" to="484.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" strokecolor="#4a7ebb">
                <o:lock v:ext="edit" shapetype="f"/>
              </v:line>
            </w:pict>
          </mc:Fallback>
        </mc:AlternateContent>
      </w:r>
      <w:r w:rsidRPr="00CD151F">
        <w:rPr>
          <w:noProof/>
        </w:rPr>
        <mc:AlternateContent>
          <mc:Choice Requires="wps">
            <w:drawing>
              <wp:anchor distT="4294967295" distB="4294967295" distL="114300" distR="114300" simplePos="0" relativeHeight="251659264" behindDoc="0" locked="0" layoutInCell="1" allowOverlap="1" wp14:anchorId="027CD613" wp14:editId="40B191D7">
                <wp:simplePos x="0" y="0"/>
                <wp:positionH relativeFrom="column">
                  <wp:posOffset>-104775</wp:posOffset>
                </wp:positionH>
                <wp:positionV relativeFrom="paragraph">
                  <wp:posOffset>-152400</wp:posOffset>
                </wp:positionV>
                <wp:extent cx="6257925" cy="0"/>
                <wp:effectExtent l="0" t="0" r="0" b="0"/>
                <wp:wrapNone/>
                <wp:docPr id="159866280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102416"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pt,-12pt" to="48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" strokecolor="#156082 [3204]" strokeweight="1pt">
                <v:stroke joinstyle="miter"/>
                <o:lock v:ext="edit" shapetype="f"/>
              </v:line>
            </w:pict>
          </mc:Fallback>
        </mc:AlternateContent>
      </w:r>
      <w:r w:rsidRPr="00CD151F">
        <w:rPr>
          <w:b/>
        </w:rPr>
        <w:t>Summary of Content Changes</w:t>
      </w:r>
      <w:r w:rsidRPr="00CD151F">
        <w:rPr>
          <w:b/>
        </w:rPr>
        <w:br/>
        <w:t>2025.</w:t>
      </w:r>
      <w:r>
        <w:rPr>
          <w:b/>
        </w:rPr>
        <w:t>3</w:t>
      </w:r>
      <w:r w:rsidRPr="00CD151F">
        <w:rPr>
          <w:b/>
        </w:rPr>
        <w:t xml:space="preserve"> Update</w:t>
      </w:r>
      <w:r w:rsidR="00F03053">
        <w:rPr>
          <w:b/>
        </w:rPr>
        <w:t xml:space="preserve">: June - </w:t>
      </w:r>
      <w:r>
        <w:rPr>
          <w:b/>
        </w:rPr>
        <w:t>October</w:t>
      </w:r>
      <w:r w:rsidRPr="00CD151F">
        <w:rPr>
          <w:b/>
        </w:rPr>
        <w:t xml:space="preserve"> 2025</w:t>
      </w:r>
      <w:r w:rsidRPr="00CD151F">
        <w:rPr>
          <w:b/>
        </w:rPr>
        <w:br/>
      </w:r>
    </w:p>
    <w:p w14:paraId="083E5E50" w14:textId="31537B99" w:rsidR="002114D4" w:rsidRDefault="000738C1">
      <w:r>
        <w:t>This update includes revisions to ensure encryption</w:t>
      </w:r>
      <w:r w:rsidR="00735B0C">
        <w:t xml:space="preserve"> </w:t>
      </w:r>
      <w:r w:rsidR="00A5712F">
        <w:t>requirements are the current industry standard</w:t>
      </w:r>
      <w:r w:rsidR="00775B54">
        <w:t xml:space="preserve">.  </w:t>
      </w:r>
      <w:r w:rsidR="008E41B3">
        <w:t xml:space="preserve">Changes were also made to the Reconsideration of Value </w:t>
      </w:r>
      <w:r w:rsidR="00AD7988">
        <w:t xml:space="preserve">procedure to keep pace with </w:t>
      </w:r>
      <w:hyperlink r:id="rId4" w:history="1">
        <w:r w:rsidR="00AD7988" w:rsidRPr="00AD7988">
          <w:rPr>
            <w:rStyle w:val="Hyperlink"/>
          </w:rPr>
          <w:t>changing guidelines</w:t>
        </w:r>
      </w:hyperlink>
      <w:r w:rsidR="00AD7988">
        <w:t xml:space="preserve"> from Fannie Mae and Freddie Mac for loans sold on the secondary market.  Additional r</w:t>
      </w:r>
      <w:r w:rsidR="00775B54">
        <w:t xml:space="preserve">evisions were also made to improve </w:t>
      </w:r>
      <w:r w:rsidR="008E41B3">
        <w:t>readability.</w:t>
      </w:r>
      <w:r w:rsidR="00A5712F">
        <w:t xml:space="preserve"> </w:t>
      </w:r>
    </w:p>
    <w:p w14:paraId="41416AE6" w14:textId="77777777" w:rsidR="00C845E5" w:rsidRDefault="002579C8">
      <w:r>
        <w:t xml:space="preserve">Prior revisions include </w:t>
      </w:r>
      <w:r w:rsidR="00F3145D">
        <w:t>changes to</w:t>
      </w:r>
      <w:r w:rsidR="00F861E2">
        <w:t xml:space="preserve"> the</w:t>
      </w:r>
      <w:r w:rsidR="00F3145D">
        <w:t xml:space="preserve"> </w:t>
      </w:r>
      <w:r w:rsidR="00F3145D" w:rsidRPr="000242FA">
        <w:t>Funds Availability</w:t>
      </w:r>
      <w:r w:rsidR="000242FA">
        <w:t xml:space="preserve"> policy to better direct </w:t>
      </w:r>
      <w:r w:rsidR="00C5488D">
        <w:t>credit unions to the resources within the regulation</w:t>
      </w:r>
      <w:r w:rsidR="0004104F">
        <w:t xml:space="preserve">, clarification on the applicability of Regulation E protections to business purpose accounts, </w:t>
      </w:r>
      <w:r w:rsidR="00325028">
        <w:t xml:space="preserve">and </w:t>
      </w:r>
      <w:r w:rsidR="0004104F">
        <w:t xml:space="preserve">revisions to </w:t>
      </w:r>
      <w:r w:rsidR="00325028">
        <w:t>“qualified” education and training activities</w:t>
      </w:r>
      <w:r w:rsidR="00E64E86">
        <w:t xml:space="preserve"> for volunteers</w:t>
      </w:r>
      <w:r w:rsidR="00F861E2">
        <w:t>.</w:t>
      </w:r>
    </w:p>
    <w:p w14:paraId="1C103A65" w14:textId="13C0FFD8" w:rsidR="000738C1" w:rsidRPr="00AC1561" w:rsidRDefault="00AC1561">
      <w:pPr>
        <w:rPr>
          <w:i/>
          <w:iCs/>
        </w:rPr>
      </w:pPr>
      <w:r w:rsidRPr="00AC1561">
        <w:rPr>
          <w:i/>
          <w:iCs/>
        </w:rPr>
        <w:t xml:space="preserve">Note: updates from June through September </w:t>
      </w:r>
      <w:r w:rsidR="003F29FC">
        <w:rPr>
          <w:i/>
          <w:iCs/>
        </w:rPr>
        <w:t xml:space="preserve">were previously </w:t>
      </w:r>
      <w:r w:rsidRPr="00AC1561">
        <w:rPr>
          <w:i/>
          <w:iCs/>
        </w:rPr>
        <w:t xml:space="preserve">released and may already be incorporated into </w:t>
      </w:r>
      <w:r w:rsidR="003F29FC">
        <w:rPr>
          <w:i/>
          <w:iCs/>
        </w:rPr>
        <w:t xml:space="preserve">your </w:t>
      </w:r>
      <w:r w:rsidRPr="00AC1561">
        <w:rPr>
          <w:i/>
          <w:iCs/>
        </w:rPr>
        <w:t>content</w:t>
      </w:r>
      <w:r w:rsidR="003F29FC">
        <w:rPr>
          <w:i/>
          <w:iCs/>
        </w:rPr>
        <w:t xml:space="preserve">. </w:t>
      </w:r>
      <w:r w:rsidR="00325028" w:rsidRPr="00AC1561">
        <w:rPr>
          <w:i/>
          <w:iCs/>
        </w:rPr>
        <w:br/>
      </w:r>
    </w:p>
    <w:p w14:paraId="5EA75047" w14:textId="572F10F7" w:rsidR="00F03053" w:rsidRPr="00397CE2" w:rsidRDefault="00F03053">
      <w:pPr>
        <w:rPr>
          <w:b/>
          <w:bCs/>
          <w:sz w:val="28"/>
          <w:szCs w:val="28"/>
        </w:rPr>
      </w:pPr>
      <w:r w:rsidRPr="00397CE2">
        <w:rPr>
          <w:b/>
          <w:bCs/>
          <w:sz w:val="28"/>
          <w:szCs w:val="28"/>
        </w:rPr>
        <w:t>June 2025</w:t>
      </w:r>
    </w:p>
    <w:p w14:paraId="674FF674" w14:textId="77777777" w:rsidR="00397CE2" w:rsidRPr="00397CE2" w:rsidRDefault="00397CE2" w:rsidP="00397CE2">
      <w:pPr>
        <w:spacing w:after="0"/>
        <w:rPr>
          <w:b/>
          <w:bCs/>
          <w:i/>
          <w:iCs/>
        </w:rPr>
      </w:pPr>
      <w:r w:rsidRPr="00397CE2">
        <w:rPr>
          <w:b/>
          <w:bCs/>
          <w:i/>
          <w:iCs/>
        </w:rPr>
        <w:t>4125.10 – Corporate Account Takeover</w:t>
      </w:r>
    </w:p>
    <w:p w14:paraId="01AEAB24" w14:textId="77777777" w:rsidR="00397CE2" w:rsidRPr="00397CE2" w:rsidRDefault="00397CE2" w:rsidP="00397CE2">
      <w:pPr>
        <w:spacing w:after="0"/>
        <w:rPr>
          <w:b/>
          <w:bCs/>
          <w:i/>
          <w:iCs/>
        </w:rPr>
      </w:pPr>
      <w:r w:rsidRPr="00397CE2">
        <w:rPr>
          <w:b/>
          <w:bCs/>
          <w:i/>
          <w:iCs/>
        </w:rPr>
        <w:t>Revised June 2025</w:t>
      </w:r>
    </w:p>
    <w:p w14:paraId="664B06C7" w14:textId="66A147EE" w:rsidR="00397CE2" w:rsidRDefault="00397CE2" w:rsidP="00397CE2">
      <w:r>
        <w:t xml:space="preserve">The content was updated to improve readability and to clarify that Regulation E protections are generally not applicable to business purpose (corporate) accounts. </w:t>
      </w:r>
      <w:r w:rsidRPr="002D09C7">
        <w:rPr>
          <w:b/>
          <w:bCs/>
          <w:color w:val="EE0000"/>
        </w:rPr>
        <w:t>(Recommended)</w:t>
      </w:r>
      <w:r w:rsidR="00AC1275">
        <w:rPr>
          <w:b/>
          <w:bCs/>
          <w:color w:val="EE0000"/>
        </w:rPr>
        <w:br/>
        <w:t xml:space="preserve"> </w:t>
      </w:r>
    </w:p>
    <w:p w14:paraId="07279C53" w14:textId="371EE21B" w:rsidR="00F03053" w:rsidRPr="00397CE2" w:rsidRDefault="00F03053">
      <w:pPr>
        <w:rPr>
          <w:b/>
          <w:bCs/>
          <w:sz w:val="28"/>
          <w:szCs w:val="28"/>
        </w:rPr>
      </w:pPr>
      <w:r w:rsidRPr="00397CE2">
        <w:rPr>
          <w:b/>
          <w:bCs/>
          <w:sz w:val="28"/>
          <w:szCs w:val="28"/>
        </w:rPr>
        <w:t>August 2025</w:t>
      </w:r>
    </w:p>
    <w:p w14:paraId="4E51546E" w14:textId="77777777" w:rsidR="00F03053" w:rsidRPr="00397CE2" w:rsidRDefault="00F03053" w:rsidP="00F03053">
      <w:pPr>
        <w:spacing w:after="0"/>
        <w:rPr>
          <w:b/>
          <w:bCs/>
          <w:i/>
          <w:iCs/>
        </w:rPr>
      </w:pPr>
      <w:r w:rsidRPr="00397CE2">
        <w:rPr>
          <w:b/>
          <w:bCs/>
          <w:i/>
          <w:iCs/>
        </w:rPr>
        <w:t>2110 – BSA – Anti-Money Laundering Program</w:t>
      </w:r>
    </w:p>
    <w:p w14:paraId="2120E019" w14:textId="77777777" w:rsidR="00F03053" w:rsidRPr="00397CE2" w:rsidRDefault="00F03053" w:rsidP="00F03053">
      <w:pPr>
        <w:spacing w:after="0"/>
        <w:rPr>
          <w:b/>
          <w:bCs/>
          <w:i/>
          <w:iCs/>
        </w:rPr>
      </w:pPr>
      <w:r w:rsidRPr="00397CE2">
        <w:rPr>
          <w:b/>
          <w:bCs/>
          <w:i/>
          <w:iCs/>
        </w:rPr>
        <w:t>Revised August</w:t>
      </w:r>
    </w:p>
    <w:p w14:paraId="64B351AD" w14:textId="06E25579" w:rsidR="00F03053" w:rsidRDefault="00F03053">
      <w:r w:rsidRPr="00343304">
        <w:t xml:space="preserve">The model BSA policy was updated to reflect that the Financial Crimes Enforcement Network (FinCEN) discontinued use of its legacy Secure Information Sharing System (SISS) on May 23, 2024. Positive matches to 314(a) requests must now be reported through the new FI Portal located at </w:t>
      </w:r>
      <w:hyperlink r:id="rId5" w:history="1">
        <w:r w:rsidRPr="007D6BD0">
          <w:rPr>
            <w:rStyle w:val="Hyperlink"/>
          </w:rPr>
          <w:t>https://fiportal.fincen.gov</w:t>
        </w:r>
      </w:hyperlink>
      <w:r>
        <w:t xml:space="preserve">. </w:t>
      </w:r>
      <w:r w:rsidRPr="002D09C7">
        <w:rPr>
          <w:b/>
          <w:bCs/>
          <w:color w:val="EE0000"/>
        </w:rPr>
        <w:t>(Recommended)</w:t>
      </w:r>
      <w:r>
        <w:rPr>
          <w:b/>
          <w:bCs/>
          <w:color w:val="EE0000"/>
        </w:rPr>
        <w:br/>
      </w:r>
    </w:p>
    <w:p w14:paraId="2260AC00" w14:textId="11BDC369" w:rsidR="00F03053" w:rsidRPr="00397CE2" w:rsidRDefault="00F03053">
      <w:pPr>
        <w:rPr>
          <w:b/>
          <w:bCs/>
          <w:sz w:val="28"/>
          <w:szCs w:val="28"/>
        </w:rPr>
      </w:pPr>
      <w:r w:rsidRPr="00397CE2">
        <w:rPr>
          <w:b/>
          <w:bCs/>
          <w:sz w:val="28"/>
          <w:szCs w:val="28"/>
        </w:rPr>
        <w:t>September 2025</w:t>
      </w:r>
    </w:p>
    <w:p w14:paraId="7EA9B58C" w14:textId="77777777" w:rsidR="00F03053" w:rsidRPr="00397CE2" w:rsidRDefault="00F03053" w:rsidP="00F03053">
      <w:pPr>
        <w:spacing w:after="0"/>
        <w:rPr>
          <w:b/>
          <w:bCs/>
          <w:i/>
          <w:iCs/>
        </w:rPr>
      </w:pPr>
      <w:r w:rsidRPr="00397CE2">
        <w:rPr>
          <w:b/>
          <w:bCs/>
          <w:i/>
          <w:iCs/>
        </w:rPr>
        <w:t>1100.15 – Education and Volunteer Training Guidelines</w:t>
      </w:r>
    </w:p>
    <w:p w14:paraId="4FA6C2CC" w14:textId="77777777" w:rsidR="00F03053" w:rsidRPr="00397CE2" w:rsidRDefault="00F03053" w:rsidP="00F03053">
      <w:pPr>
        <w:spacing w:after="0"/>
        <w:rPr>
          <w:b/>
          <w:bCs/>
          <w:i/>
          <w:iCs/>
        </w:rPr>
      </w:pPr>
      <w:r w:rsidRPr="00397CE2">
        <w:rPr>
          <w:b/>
          <w:bCs/>
          <w:i/>
          <w:iCs/>
        </w:rPr>
        <w:t>Revised September 2025</w:t>
      </w:r>
    </w:p>
    <w:p w14:paraId="4B8BDBE8" w14:textId="77777777" w:rsidR="00F03053" w:rsidRDefault="00F03053" w:rsidP="00F03053">
      <w:r>
        <w:lastRenderedPageBreak/>
        <w:t xml:space="preserve">This resource was updated to revise outdated training opportunities and provide more general guidance to attend “qualified” education and training activities.  </w:t>
      </w:r>
      <w:r w:rsidRPr="002D09C7">
        <w:rPr>
          <w:b/>
          <w:bCs/>
          <w:color w:val="EE0000"/>
        </w:rPr>
        <w:t>(Recommended)</w:t>
      </w:r>
    </w:p>
    <w:p w14:paraId="00703A40" w14:textId="77777777" w:rsidR="0039068F" w:rsidRDefault="0039068F" w:rsidP="00397CE2">
      <w:pPr>
        <w:spacing w:after="0"/>
        <w:rPr>
          <w:b/>
          <w:bCs/>
          <w:i/>
          <w:iCs/>
        </w:rPr>
      </w:pPr>
    </w:p>
    <w:p w14:paraId="1AE299DB" w14:textId="6B6E4594" w:rsidR="00397CE2" w:rsidRPr="00397CE2" w:rsidRDefault="00397CE2" w:rsidP="00397CE2">
      <w:pPr>
        <w:spacing w:after="0"/>
        <w:rPr>
          <w:b/>
          <w:bCs/>
          <w:i/>
          <w:iCs/>
        </w:rPr>
      </w:pPr>
      <w:r w:rsidRPr="00397CE2">
        <w:rPr>
          <w:b/>
          <w:bCs/>
          <w:i/>
          <w:iCs/>
        </w:rPr>
        <w:t>2400 – Funds Availability</w:t>
      </w:r>
    </w:p>
    <w:p w14:paraId="0235273A" w14:textId="77777777" w:rsidR="00397CE2" w:rsidRPr="00397CE2" w:rsidRDefault="00397CE2" w:rsidP="00397CE2">
      <w:pPr>
        <w:spacing w:after="0"/>
        <w:rPr>
          <w:b/>
          <w:bCs/>
          <w:i/>
          <w:iCs/>
        </w:rPr>
      </w:pPr>
      <w:r w:rsidRPr="00397CE2">
        <w:rPr>
          <w:b/>
          <w:bCs/>
          <w:i/>
          <w:iCs/>
        </w:rPr>
        <w:t>Revised September 2025</w:t>
      </w:r>
    </w:p>
    <w:p w14:paraId="060EBE5D" w14:textId="0ABA388C" w:rsidR="00F03053" w:rsidRDefault="00397CE2">
      <w:pPr>
        <w:rPr>
          <w:b/>
          <w:bCs/>
          <w:color w:val="EE0000"/>
        </w:rPr>
      </w:pPr>
      <w:r>
        <w:t xml:space="preserve">The Funds Availability policy was updated to reflect the location of model availability policy disclosures and Records Retention Table. </w:t>
      </w:r>
      <w:r w:rsidRPr="002D09C7">
        <w:rPr>
          <w:b/>
          <w:bCs/>
          <w:color w:val="EE0000"/>
        </w:rPr>
        <w:t>(Recommended)</w:t>
      </w:r>
    </w:p>
    <w:p w14:paraId="24C66DC8" w14:textId="77777777" w:rsidR="0039068F" w:rsidRDefault="0039068F"/>
    <w:p w14:paraId="3097970E" w14:textId="5ACECBF4" w:rsidR="00F03053" w:rsidRPr="00397CE2" w:rsidRDefault="00F03053">
      <w:pPr>
        <w:rPr>
          <w:b/>
          <w:bCs/>
          <w:sz w:val="28"/>
          <w:szCs w:val="28"/>
        </w:rPr>
      </w:pPr>
      <w:r w:rsidRPr="00397CE2">
        <w:rPr>
          <w:b/>
          <w:bCs/>
          <w:sz w:val="28"/>
          <w:szCs w:val="28"/>
        </w:rPr>
        <w:t>October 2025</w:t>
      </w:r>
    </w:p>
    <w:p w14:paraId="1B443095" w14:textId="5EAED964" w:rsidR="00517195" w:rsidRPr="00397CE2" w:rsidRDefault="00517195" w:rsidP="002D09C7">
      <w:pPr>
        <w:spacing w:after="0"/>
        <w:rPr>
          <w:b/>
          <w:bCs/>
          <w:i/>
          <w:iCs/>
        </w:rPr>
      </w:pPr>
      <w:r w:rsidRPr="00397CE2">
        <w:rPr>
          <w:b/>
          <w:bCs/>
          <w:i/>
          <w:iCs/>
        </w:rPr>
        <w:t xml:space="preserve">1615 </w:t>
      </w:r>
      <w:r w:rsidR="0029196E" w:rsidRPr="00397CE2">
        <w:rPr>
          <w:b/>
          <w:bCs/>
          <w:i/>
          <w:iCs/>
        </w:rPr>
        <w:t>–</w:t>
      </w:r>
      <w:r w:rsidRPr="00397CE2">
        <w:rPr>
          <w:b/>
          <w:bCs/>
          <w:i/>
          <w:iCs/>
        </w:rPr>
        <w:t xml:space="preserve"> Privacy</w:t>
      </w:r>
      <w:r w:rsidR="0029196E" w:rsidRPr="00397CE2">
        <w:rPr>
          <w:b/>
          <w:bCs/>
          <w:i/>
          <w:iCs/>
        </w:rPr>
        <w:t xml:space="preserve"> and Confidential Information</w:t>
      </w:r>
    </w:p>
    <w:p w14:paraId="13CDCD4F" w14:textId="5F210DDE" w:rsidR="0004398C" w:rsidRPr="00397CE2" w:rsidRDefault="0004398C" w:rsidP="002D09C7">
      <w:pPr>
        <w:spacing w:after="0"/>
        <w:rPr>
          <w:b/>
          <w:bCs/>
          <w:i/>
          <w:iCs/>
        </w:rPr>
      </w:pPr>
      <w:r w:rsidRPr="00397CE2">
        <w:rPr>
          <w:b/>
          <w:bCs/>
          <w:i/>
          <w:iCs/>
        </w:rPr>
        <w:t xml:space="preserve">Revised </w:t>
      </w:r>
      <w:r w:rsidR="001308FD" w:rsidRPr="00397CE2">
        <w:rPr>
          <w:b/>
          <w:bCs/>
          <w:i/>
          <w:iCs/>
        </w:rPr>
        <w:t>October</w:t>
      </w:r>
    </w:p>
    <w:p w14:paraId="0835C2E2" w14:textId="39C3890F" w:rsidR="0004398C" w:rsidRPr="00397CE2" w:rsidRDefault="0029196E" w:rsidP="007964A2">
      <w:pPr>
        <w:rPr>
          <w:b/>
          <w:bCs/>
          <w:i/>
          <w:iCs/>
        </w:rPr>
      </w:pPr>
      <w:r>
        <w:t xml:space="preserve">This model policy was revised to </w:t>
      </w:r>
      <w:r w:rsidR="00200AE8">
        <w:t>modernize the credit union’s encryption requirements</w:t>
      </w:r>
      <w:r w:rsidR="00F8379B">
        <w:t xml:space="preserve"> to align with modern security practices</w:t>
      </w:r>
      <w:r w:rsidR="00200AE8">
        <w:t xml:space="preserve">, to reference the existing policy 2223 for implementation of the Children’s Online Privacy Protection </w:t>
      </w:r>
      <w:proofErr w:type="gramStart"/>
      <w:r w:rsidR="00200AE8">
        <w:t>Act, and</w:t>
      </w:r>
      <w:proofErr w:type="gramEnd"/>
      <w:r w:rsidR="00200AE8">
        <w:t xml:space="preserve"> </w:t>
      </w:r>
      <w:r w:rsidR="00C22852">
        <w:t>also included grammatical changes to improve readability.</w:t>
      </w:r>
      <w:r w:rsidR="002D09C7">
        <w:t xml:space="preserve"> </w:t>
      </w:r>
      <w:r w:rsidR="002D09C7" w:rsidRPr="002D09C7">
        <w:rPr>
          <w:b/>
          <w:bCs/>
          <w:color w:val="EE0000"/>
        </w:rPr>
        <w:t>(Required)</w:t>
      </w:r>
      <w:r w:rsidR="00EC6668">
        <w:br/>
      </w:r>
      <w:r w:rsidR="00AC1275">
        <w:rPr>
          <w:b/>
          <w:bCs/>
          <w:i/>
          <w:iCs/>
        </w:rPr>
        <w:br/>
      </w:r>
      <w:r w:rsidR="00EC6668" w:rsidRPr="00397CE2">
        <w:rPr>
          <w:b/>
          <w:bCs/>
          <w:i/>
          <w:iCs/>
        </w:rPr>
        <w:t>2225 – Digital Banking</w:t>
      </w:r>
      <w:r w:rsidR="007964A2">
        <w:rPr>
          <w:b/>
          <w:bCs/>
          <w:i/>
          <w:iCs/>
        </w:rPr>
        <w:br/>
      </w:r>
      <w:r w:rsidR="001308FD" w:rsidRPr="00397CE2">
        <w:rPr>
          <w:b/>
          <w:bCs/>
          <w:i/>
          <w:iCs/>
        </w:rPr>
        <w:t>October 2025</w:t>
      </w:r>
    </w:p>
    <w:p w14:paraId="3401F33C" w14:textId="43E162A6" w:rsidR="00EC6668" w:rsidRDefault="00EC6668" w:rsidP="00AD408E">
      <w:pPr>
        <w:spacing w:after="0"/>
      </w:pPr>
      <w:r>
        <w:t xml:space="preserve">Minor grammatical </w:t>
      </w:r>
      <w:r w:rsidR="00666309">
        <w:t xml:space="preserve">and wording </w:t>
      </w:r>
      <w:r>
        <w:t>changes were made to improve the readability of the policy.</w:t>
      </w:r>
      <w:r w:rsidR="002D09C7">
        <w:t xml:space="preserve"> </w:t>
      </w:r>
      <w:r w:rsidR="002D09C7" w:rsidRPr="002D09C7">
        <w:rPr>
          <w:b/>
          <w:bCs/>
          <w:color w:val="EE0000"/>
        </w:rPr>
        <w:t>(Recommended)</w:t>
      </w:r>
      <w:r w:rsidR="00AC1275">
        <w:rPr>
          <w:b/>
          <w:bCs/>
          <w:color w:val="EE0000"/>
        </w:rPr>
        <w:t xml:space="preserve"> </w:t>
      </w:r>
      <w:r w:rsidR="00AC1275">
        <w:rPr>
          <w:b/>
          <w:bCs/>
          <w:color w:val="EE0000"/>
        </w:rPr>
        <w:br/>
      </w:r>
      <w:r w:rsidR="00AC1275" w:rsidRPr="00AC1275">
        <w:rPr>
          <w:i/>
          <w:iCs/>
        </w:rPr>
        <w:t>Note: this policy was revised in both September and October. The redlined changes from both updates are included.</w:t>
      </w:r>
      <w:r w:rsidR="00AC1275" w:rsidRPr="00AC1275">
        <w:rPr>
          <w:b/>
          <w:bCs/>
        </w:rPr>
        <w:t xml:space="preserve"> </w:t>
      </w:r>
      <w:r w:rsidR="002D09C7">
        <w:rPr>
          <w:b/>
          <w:bCs/>
          <w:color w:val="EE0000"/>
        </w:rPr>
        <w:br/>
      </w:r>
    </w:p>
    <w:p w14:paraId="45B9653C" w14:textId="6B73A734" w:rsidR="002114D4" w:rsidRPr="00397CE2" w:rsidRDefault="002114D4" w:rsidP="0004398C">
      <w:pPr>
        <w:spacing w:after="0"/>
        <w:rPr>
          <w:b/>
          <w:bCs/>
          <w:i/>
          <w:iCs/>
        </w:rPr>
      </w:pPr>
      <w:r w:rsidRPr="00397CE2">
        <w:rPr>
          <w:b/>
          <w:bCs/>
          <w:i/>
          <w:iCs/>
        </w:rPr>
        <w:t xml:space="preserve">2225.10 – </w:t>
      </w:r>
      <w:r w:rsidR="000F33C2" w:rsidRPr="00397CE2">
        <w:rPr>
          <w:b/>
          <w:bCs/>
          <w:i/>
          <w:iCs/>
        </w:rPr>
        <w:t>Anti-Phishing</w:t>
      </w:r>
    </w:p>
    <w:p w14:paraId="28F87B43" w14:textId="77777777" w:rsidR="001308FD" w:rsidRPr="00397CE2" w:rsidRDefault="001308FD" w:rsidP="001308FD">
      <w:pPr>
        <w:spacing w:after="0"/>
        <w:rPr>
          <w:b/>
          <w:bCs/>
          <w:i/>
          <w:iCs/>
        </w:rPr>
      </w:pPr>
      <w:r w:rsidRPr="00397CE2">
        <w:rPr>
          <w:b/>
          <w:bCs/>
          <w:i/>
          <w:iCs/>
        </w:rPr>
        <w:t>October 2025</w:t>
      </w:r>
    </w:p>
    <w:p w14:paraId="3DADC35F" w14:textId="0577FC6C" w:rsidR="001308FD" w:rsidRPr="00397CE2" w:rsidRDefault="002114D4" w:rsidP="00AC1275">
      <w:pPr>
        <w:rPr>
          <w:b/>
          <w:bCs/>
          <w:i/>
          <w:iCs/>
        </w:rPr>
      </w:pPr>
      <w:r>
        <w:t xml:space="preserve">This model content was revised to update the </w:t>
      </w:r>
      <w:r w:rsidR="00F8379B">
        <w:t xml:space="preserve">credit union’s </w:t>
      </w:r>
      <w:r>
        <w:t xml:space="preserve">encryption </w:t>
      </w:r>
      <w:r w:rsidR="00F8379B">
        <w:t xml:space="preserve">requirements </w:t>
      </w:r>
      <w:r>
        <w:t>to align with modern security practices.  In addition, revisions were made to the readability of the policy.</w:t>
      </w:r>
      <w:r w:rsidR="002D09C7">
        <w:t xml:space="preserve"> </w:t>
      </w:r>
      <w:r w:rsidR="002D09C7" w:rsidRPr="002D09C7">
        <w:rPr>
          <w:b/>
          <w:bCs/>
          <w:color w:val="EE0000"/>
        </w:rPr>
        <w:t>(Required)</w:t>
      </w:r>
      <w:r w:rsidR="002D09C7">
        <w:rPr>
          <w:b/>
          <w:bCs/>
          <w:color w:val="EE0000"/>
        </w:rPr>
        <w:br/>
      </w:r>
      <w:r w:rsidR="00991A35">
        <w:rPr>
          <w:b/>
          <w:bCs/>
          <w:u w:val="single"/>
        </w:rPr>
        <w:br/>
      </w:r>
      <w:r w:rsidR="00B72292" w:rsidRPr="00397CE2">
        <w:rPr>
          <w:b/>
          <w:bCs/>
          <w:i/>
          <w:iCs/>
        </w:rPr>
        <w:t>4120 – Information Security</w:t>
      </w:r>
      <w:r w:rsidR="00AC1275">
        <w:rPr>
          <w:b/>
          <w:bCs/>
          <w:i/>
          <w:iCs/>
        </w:rPr>
        <w:br/>
      </w:r>
      <w:r w:rsidR="001308FD" w:rsidRPr="00397CE2">
        <w:rPr>
          <w:b/>
          <w:bCs/>
          <w:i/>
          <w:iCs/>
        </w:rPr>
        <w:t>October 2025</w:t>
      </w:r>
    </w:p>
    <w:p w14:paraId="3F3FA624" w14:textId="2635A8ED" w:rsidR="00953A5F" w:rsidRDefault="00B72292" w:rsidP="004C3293">
      <w:pPr>
        <w:rPr>
          <w:b/>
          <w:bCs/>
          <w:color w:val="EE0000"/>
        </w:rPr>
      </w:pPr>
      <w:r>
        <w:t>Minor grammatical changes were made to improve the readability of the policy.</w:t>
      </w:r>
      <w:r w:rsidR="00953A5F">
        <w:t xml:space="preserve"> </w:t>
      </w:r>
      <w:r w:rsidR="002D09C7" w:rsidRPr="002D09C7">
        <w:rPr>
          <w:b/>
          <w:bCs/>
          <w:color w:val="EE0000"/>
        </w:rPr>
        <w:t>(Recommended)</w:t>
      </w:r>
    </w:p>
    <w:p w14:paraId="3F28E015" w14:textId="4565AAA2" w:rsidR="004C3293" w:rsidRPr="00397CE2" w:rsidRDefault="004C3293" w:rsidP="004C3293">
      <w:pPr>
        <w:rPr>
          <w:b/>
          <w:bCs/>
          <w:i/>
          <w:iCs/>
        </w:rPr>
      </w:pPr>
      <w:r w:rsidRPr="00397CE2">
        <w:rPr>
          <w:b/>
          <w:bCs/>
          <w:i/>
          <w:iCs/>
        </w:rPr>
        <w:lastRenderedPageBreak/>
        <w:t>412</w:t>
      </w:r>
      <w:r>
        <w:rPr>
          <w:b/>
          <w:bCs/>
          <w:i/>
          <w:iCs/>
        </w:rPr>
        <w:t>5</w:t>
      </w:r>
      <w:r w:rsidRPr="00397CE2">
        <w:rPr>
          <w:b/>
          <w:bCs/>
          <w:i/>
          <w:iCs/>
        </w:rPr>
        <w:t xml:space="preserve"> – </w:t>
      </w:r>
      <w:r>
        <w:rPr>
          <w:b/>
          <w:bCs/>
          <w:i/>
          <w:iCs/>
        </w:rPr>
        <w:t>Incident Respons</w:t>
      </w:r>
      <w:r w:rsidR="00953A5F">
        <w:rPr>
          <w:b/>
          <w:bCs/>
          <w:i/>
          <w:iCs/>
        </w:rPr>
        <w:t>e</w:t>
      </w:r>
      <w:r>
        <w:rPr>
          <w:b/>
          <w:bCs/>
          <w:i/>
          <w:iCs/>
        </w:rPr>
        <w:br/>
      </w:r>
      <w:r w:rsidRPr="00397CE2">
        <w:rPr>
          <w:b/>
          <w:bCs/>
          <w:i/>
          <w:iCs/>
        </w:rPr>
        <w:t>October 2025</w:t>
      </w:r>
    </w:p>
    <w:p w14:paraId="1E294F96" w14:textId="2F506D06" w:rsidR="004C3293" w:rsidRDefault="004C3293" w:rsidP="004C3293">
      <w:pPr>
        <w:rPr>
          <w:b/>
          <w:bCs/>
          <w:color w:val="EE0000"/>
        </w:rPr>
      </w:pPr>
      <w:r>
        <w:t>Minor grammatical changes were made to improve the readability of the policy.</w:t>
      </w:r>
      <w:r w:rsidR="00953A5F">
        <w:t xml:space="preserve"> </w:t>
      </w:r>
      <w:r w:rsidRPr="002D09C7">
        <w:rPr>
          <w:b/>
          <w:bCs/>
          <w:color w:val="EE0000"/>
        </w:rPr>
        <w:t>(Recommended)</w:t>
      </w:r>
    </w:p>
    <w:p w14:paraId="4D4828FA" w14:textId="77777777" w:rsidR="004C3293" w:rsidRDefault="004C3293" w:rsidP="00AC1275">
      <w:pPr>
        <w:rPr>
          <w:b/>
          <w:bCs/>
          <w:i/>
          <w:iCs/>
        </w:rPr>
      </w:pPr>
    </w:p>
    <w:p w14:paraId="62FF1054" w14:textId="7E77997C" w:rsidR="001308FD" w:rsidRPr="00397CE2" w:rsidRDefault="00FC580D" w:rsidP="00AC1275">
      <w:pPr>
        <w:rPr>
          <w:b/>
          <w:bCs/>
          <w:i/>
          <w:iCs/>
        </w:rPr>
      </w:pPr>
      <w:r w:rsidRPr="00397CE2">
        <w:rPr>
          <w:b/>
          <w:bCs/>
          <w:i/>
          <w:iCs/>
        </w:rPr>
        <w:t>7302.10 – Reconsiderations of Value</w:t>
      </w:r>
      <w:r w:rsidR="00AC1275">
        <w:rPr>
          <w:b/>
          <w:bCs/>
          <w:i/>
          <w:iCs/>
        </w:rPr>
        <w:br/>
      </w:r>
      <w:r w:rsidR="001308FD" w:rsidRPr="00397CE2">
        <w:rPr>
          <w:b/>
          <w:bCs/>
          <w:i/>
          <w:iCs/>
        </w:rPr>
        <w:t>October 2025</w:t>
      </w:r>
    </w:p>
    <w:p w14:paraId="0F2A9AED" w14:textId="774C05B8" w:rsidR="00FC580D" w:rsidRDefault="00362567" w:rsidP="002D09C7">
      <w:pPr>
        <w:spacing w:after="0"/>
      </w:pPr>
      <w:hyperlink r:id="rId6" w:history="1">
        <w:r w:rsidRPr="00805532">
          <w:rPr>
            <w:rStyle w:val="Hyperlink"/>
          </w:rPr>
          <w:t>On September 3, 2025, the Agencies (Fannie and Freddie)</w:t>
        </w:r>
      </w:hyperlink>
      <w:r>
        <w:t xml:space="preserve"> </w:t>
      </w:r>
      <w:r w:rsidR="00805532">
        <w:t xml:space="preserve">changed the requirement to provide </w:t>
      </w:r>
      <w:r w:rsidR="003B49A5">
        <w:t xml:space="preserve">an </w:t>
      </w:r>
      <w:r w:rsidR="004E6E7C">
        <w:t>initial reconsideration of value (</w:t>
      </w:r>
      <w:r w:rsidR="003B49A5">
        <w:t>ROV</w:t>
      </w:r>
      <w:r w:rsidR="004E6E7C">
        <w:t xml:space="preserve">) </w:t>
      </w:r>
      <w:r w:rsidR="003B49A5">
        <w:t xml:space="preserve">disclosure at </w:t>
      </w:r>
      <w:r w:rsidR="00805532">
        <w:t xml:space="preserve">the </w:t>
      </w:r>
      <w:r w:rsidR="008477A8">
        <w:t xml:space="preserve">loan </w:t>
      </w:r>
      <w:r w:rsidR="003B49A5">
        <w:t>application</w:t>
      </w:r>
      <w:r w:rsidR="00805532">
        <w:t xml:space="preserve"> to requiring the disclosure to be provided when the appraisal report is delivered.</w:t>
      </w:r>
      <w:r w:rsidR="003B49A5">
        <w:t xml:space="preserve"> </w:t>
      </w:r>
      <w:r w:rsidR="009210AF">
        <w:t xml:space="preserve">Because of this change and the lack of </w:t>
      </w:r>
      <w:r w:rsidR="00DD78CA">
        <w:t>specificity</w:t>
      </w:r>
      <w:r w:rsidR="004F2F86">
        <w:t xml:space="preserve"> for </w:t>
      </w:r>
      <w:r w:rsidR="00DD78CA">
        <w:t xml:space="preserve">ROV disclosure in the </w:t>
      </w:r>
      <w:hyperlink r:id="rId7" w:history="1">
        <w:r w:rsidR="00DD78CA" w:rsidRPr="00DD78CA">
          <w:rPr>
            <w:rStyle w:val="Hyperlink"/>
          </w:rPr>
          <w:t>Interagency Guidance</w:t>
        </w:r>
      </w:hyperlink>
      <w:r w:rsidR="00DD78CA">
        <w:t>, we have amended the requirements of when the credit union should provide the ROV disclosures</w:t>
      </w:r>
      <w:r w:rsidR="0080678C">
        <w:t xml:space="preserve"> to be </w:t>
      </w:r>
      <w:r w:rsidR="0020199E">
        <w:t>early enough in the underwriting process for any errors or issues to be resolved before a credit decision is made.</w:t>
      </w:r>
      <w:r w:rsidR="002D09C7">
        <w:t xml:space="preserve"> </w:t>
      </w:r>
      <w:r w:rsidR="002D09C7" w:rsidRPr="002D09C7">
        <w:rPr>
          <w:b/>
          <w:bCs/>
          <w:color w:val="EE0000"/>
        </w:rPr>
        <w:t>(Recommended)</w:t>
      </w:r>
    </w:p>
    <w:p w14:paraId="14FDF0A2" w14:textId="77777777" w:rsidR="000F33C2" w:rsidRDefault="000F33C2"/>
    <w:sectPr w:rsidR="000F33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4D4"/>
    <w:rsid w:val="00004818"/>
    <w:rsid w:val="00024255"/>
    <w:rsid w:val="000242FA"/>
    <w:rsid w:val="0004104F"/>
    <w:rsid w:val="0004398C"/>
    <w:rsid w:val="000738C1"/>
    <w:rsid w:val="00095FC9"/>
    <w:rsid w:val="000C1B18"/>
    <w:rsid w:val="000F33C2"/>
    <w:rsid w:val="001308FD"/>
    <w:rsid w:val="00132015"/>
    <w:rsid w:val="001546DC"/>
    <w:rsid w:val="001A1BD8"/>
    <w:rsid w:val="00200AE8"/>
    <w:rsid w:val="0020199E"/>
    <w:rsid w:val="002114D4"/>
    <w:rsid w:val="002579C8"/>
    <w:rsid w:val="0029196E"/>
    <w:rsid w:val="002D09C7"/>
    <w:rsid w:val="00325028"/>
    <w:rsid w:val="00343304"/>
    <w:rsid w:val="00362567"/>
    <w:rsid w:val="0039068F"/>
    <w:rsid w:val="00397CE2"/>
    <w:rsid w:val="003B49A5"/>
    <w:rsid w:val="003D4A99"/>
    <w:rsid w:val="003F29FC"/>
    <w:rsid w:val="0049403B"/>
    <w:rsid w:val="004C3293"/>
    <w:rsid w:val="004E6E7C"/>
    <w:rsid w:val="004F2F86"/>
    <w:rsid w:val="00517195"/>
    <w:rsid w:val="00666309"/>
    <w:rsid w:val="00735B0C"/>
    <w:rsid w:val="00775B54"/>
    <w:rsid w:val="007964A2"/>
    <w:rsid w:val="007B3EA2"/>
    <w:rsid w:val="007B4FE2"/>
    <w:rsid w:val="00805532"/>
    <w:rsid w:val="0080678C"/>
    <w:rsid w:val="008477A8"/>
    <w:rsid w:val="008C656A"/>
    <w:rsid w:val="008E41B3"/>
    <w:rsid w:val="009210AF"/>
    <w:rsid w:val="009356ED"/>
    <w:rsid w:val="00953A5F"/>
    <w:rsid w:val="00963096"/>
    <w:rsid w:val="00987EF7"/>
    <w:rsid w:val="00991A35"/>
    <w:rsid w:val="009E03C0"/>
    <w:rsid w:val="00A32616"/>
    <w:rsid w:val="00A5712F"/>
    <w:rsid w:val="00AC1275"/>
    <w:rsid w:val="00AC1561"/>
    <w:rsid w:val="00AD408E"/>
    <w:rsid w:val="00AD7988"/>
    <w:rsid w:val="00AF301C"/>
    <w:rsid w:val="00B72292"/>
    <w:rsid w:val="00BC5F91"/>
    <w:rsid w:val="00C22852"/>
    <w:rsid w:val="00C5488D"/>
    <w:rsid w:val="00C62C55"/>
    <w:rsid w:val="00C845E5"/>
    <w:rsid w:val="00CD151F"/>
    <w:rsid w:val="00D879FC"/>
    <w:rsid w:val="00DD78CA"/>
    <w:rsid w:val="00E64E86"/>
    <w:rsid w:val="00E762E4"/>
    <w:rsid w:val="00EB2633"/>
    <w:rsid w:val="00EC0456"/>
    <w:rsid w:val="00EC6668"/>
    <w:rsid w:val="00F03053"/>
    <w:rsid w:val="00F3145D"/>
    <w:rsid w:val="00F8379B"/>
    <w:rsid w:val="00F861E2"/>
    <w:rsid w:val="00FC580D"/>
    <w:rsid w:val="00FE2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7F5A0"/>
  <w15:chartTrackingRefBased/>
  <w15:docId w15:val="{CCAB2E00-6572-4F62-8563-918FA9CE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4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4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4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4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4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4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4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4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4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4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4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4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4D4"/>
    <w:rPr>
      <w:rFonts w:eastAsiaTheme="majorEastAsia" w:cstheme="majorBidi"/>
      <w:color w:val="272727" w:themeColor="text1" w:themeTint="D8"/>
    </w:rPr>
  </w:style>
  <w:style w:type="paragraph" w:styleId="Title">
    <w:name w:val="Title"/>
    <w:basedOn w:val="Normal"/>
    <w:next w:val="Normal"/>
    <w:link w:val="TitleChar"/>
    <w:uiPriority w:val="10"/>
    <w:qFormat/>
    <w:rsid w:val="00211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4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4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4D4"/>
    <w:pPr>
      <w:spacing w:before="160"/>
      <w:jc w:val="center"/>
    </w:pPr>
    <w:rPr>
      <w:i/>
      <w:iCs/>
      <w:color w:val="404040" w:themeColor="text1" w:themeTint="BF"/>
    </w:rPr>
  </w:style>
  <w:style w:type="character" w:customStyle="1" w:styleId="QuoteChar">
    <w:name w:val="Quote Char"/>
    <w:basedOn w:val="DefaultParagraphFont"/>
    <w:link w:val="Quote"/>
    <w:uiPriority w:val="29"/>
    <w:rsid w:val="002114D4"/>
    <w:rPr>
      <w:i/>
      <w:iCs/>
      <w:color w:val="404040" w:themeColor="text1" w:themeTint="BF"/>
    </w:rPr>
  </w:style>
  <w:style w:type="paragraph" w:styleId="ListParagraph">
    <w:name w:val="List Paragraph"/>
    <w:basedOn w:val="Normal"/>
    <w:uiPriority w:val="34"/>
    <w:qFormat/>
    <w:rsid w:val="002114D4"/>
    <w:pPr>
      <w:ind w:left="720"/>
      <w:contextualSpacing/>
    </w:pPr>
  </w:style>
  <w:style w:type="character" w:styleId="IntenseEmphasis">
    <w:name w:val="Intense Emphasis"/>
    <w:basedOn w:val="DefaultParagraphFont"/>
    <w:uiPriority w:val="21"/>
    <w:qFormat/>
    <w:rsid w:val="002114D4"/>
    <w:rPr>
      <w:i/>
      <w:iCs/>
      <w:color w:val="0F4761" w:themeColor="accent1" w:themeShade="BF"/>
    </w:rPr>
  </w:style>
  <w:style w:type="paragraph" w:styleId="IntenseQuote">
    <w:name w:val="Intense Quote"/>
    <w:basedOn w:val="Normal"/>
    <w:next w:val="Normal"/>
    <w:link w:val="IntenseQuoteChar"/>
    <w:uiPriority w:val="30"/>
    <w:qFormat/>
    <w:rsid w:val="00211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4D4"/>
    <w:rPr>
      <w:i/>
      <w:iCs/>
      <w:color w:val="0F4761" w:themeColor="accent1" w:themeShade="BF"/>
    </w:rPr>
  </w:style>
  <w:style w:type="character" w:styleId="IntenseReference">
    <w:name w:val="Intense Reference"/>
    <w:basedOn w:val="DefaultParagraphFont"/>
    <w:uiPriority w:val="32"/>
    <w:qFormat/>
    <w:rsid w:val="002114D4"/>
    <w:rPr>
      <w:b/>
      <w:bCs/>
      <w:smallCaps/>
      <w:color w:val="0F4761" w:themeColor="accent1" w:themeShade="BF"/>
      <w:spacing w:val="5"/>
    </w:rPr>
  </w:style>
  <w:style w:type="character" w:styleId="Hyperlink">
    <w:name w:val="Hyperlink"/>
    <w:basedOn w:val="DefaultParagraphFont"/>
    <w:uiPriority w:val="99"/>
    <w:unhideWhenUsed/>
    <w:rsid w:val="00E762E4"/>
    <w:rPr>
      <w:color w:val="467886" w:themeColor="hyperlink"/>
      <w:u w:val="single"/>
    </w:rPr>
  </w:style>
  <w:style w:type="character" w:styleId="UnresolvedMention">
    <w:name w:val="Unresolved Mention"/>
    <w:basedOn w:val="DefaultParagraphFont"/>
    <w:uiPriority w:val="99"/>
    <w:semiHidden/>
    <w:unhideWhenUsed/>
    <w:rsid w:val="00E76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iles.consumerfinance.gov/f/documents/cfpb_interagency-guidance-on-reconsiderations-of-value_2024-07.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nglefamily.fanniemae.com/media/43506/display" TargetMode="External"/><Relationship Id="rId5" Type="http://schemas.openxmlformats.org/officeDocument/2006/relationships/hyperlink" Target="https://fiportal.fincen.gov" TargetMode="External"/><Relationship Id="rId4" Type="http://schemas.openxmlformats.org/officeDocument/2006/relationships/hyperlink" Target="https://singlefamily.fanniemae.com/media/43506/displa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524</Words>
  <Characters>3152</Characters>
  <Application>Microsoft Office Word</Application>
  <DocSecurity>0</DocSecurity>
  <Lines>79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Mary Ann Koelzer</cp:lastModifiedBy>
  <cp:revision>6</cp:revision>
  <dcterms:created xsi:type="dcterms:W3CDTF">2025-10-15T00:35:00Z</dcterms:created>
  <dcterms:modified xsi:type="dcterms:W3CDTF">2025-10-15T17:29:00Z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109178d6-931d-468b-8031-1aa92a47fd47</vt:lpwstr>
  </property>
</Properties>
</file>